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30" w:firstLine="420"/>
        <w:rPr>
          <w:rFonts w:ascii="仿宋_GB2312" w:hAnsi="宋体" w:eastAsia="仿宋_GB2312" w:cs="宋体"/>
          <w:color w:val="444444" w:themeColor="text1"/>
          <w:kern w:val="0"/>
          <w:szCs w:val="21"/>
          <w14:textFill>
            <w14:solidFill>
              <w14:schemeClr w14:val="tx1"/>
            </w14:solidFill>
          </w14:textFill>
        </w:rPr>
      </w:pPr>
      <w:bookmarkStart w:id="0" w:name="_GoBack"/>
      <w:bookmarkEnd w:id="0"/>
    </w:p>
    <w:tbl>
      <w:tblPr>
        <w:tblStyle w:val="5"/>
        <w:tblW w:w="9020" w:type="dxa"/>
        <w:tblInd w:w="91" w:type="dxa"/>
        <w:tblLayout w:type="autofit"/>
        <w:tblCellMar>
          <w:top w:w="0" w:type="dxa"/>
          <w:left w:w="108" w:type="dxa"/>
          <w:bottom w:w="0" w:type="dxa"/>
          <w:right w:w="108" w:type="dxa"/>
        </w:tblCellMar>
      </w:tblPr>
      <w:tblGrid>
        <w:gridCol w:w="940"/>
        <w:gridCol w:w="1487"/>
        <w:gridCol w:w="6593"/>
      </w:tblGrid>
      <w:tr>
        <w:tblPrEx>
          <w:tblCellMar>
            <w:top w:w="0" w:type="dxa"/>
            <w:left w:w="108" w:type="dxa"/>
            <w:bottom w:w="0" w:type="dxa"/>
            <w:right w:w="108" w:type="dxa"/>
          </w:tblCellMar>
        </w:tblPrEx>
        <w:trPr>
          <w:trHeight w:val="600" w:hRule="atLeast"/>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444444" w:themeColor="text1"/>
                <w:kern w:val="0"/>
                <w:sz w:val="20"/>
                <w:szCs w:val="20"/>
                <w14:textFill>
                  <w14:solidFill>
                    <w14:schemeClr w14:val="tx1"/>
                  </w14:solidFill>
                </w14:textFill>
              </w:rPr>
            </w:pPr>
            <w:r>
              <w:rPr>
                <w:rFonts w:hint="eastAsia" w:ascii="黑体" w:hAnsi="黑体" w:eastAsia="黑体" w:cs="宋体"/>
                <w:color w:val="444444" w:themeColor="text1"/>
                <w:kern w:val="0"/>
                <w:sz w:val="20"/>
                <w:szCs w:val="20"/>
                <w14:textFill>
                  <w14:solidFill>
                    <w14:schemeClr w14:val="tx1"/>
                  </w14:solidFill>
                </w14:textFill>
              </w:rPr>
              <w:t>序号</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color w:val="444444" w:themeColor="text1"/>
                <w:kern w:val="0"/>
                <w:sz w:val="20"/>
                <w:szCs w:val="20"/>
                <w14:textFill>
                  <w14:solidFill>
                    <w14:schemeClr w14:val="tx1"/>
                  </w14:solidFill>
                </w14:textFill>
              </w:rPr>
            </w:pPr>
            <w:r>
              <w:rPr>
                <w:rFonts w:hint="eastAsia" w:ascii="黑体" w:hAnsi="黑体" w:eastAsia="黑体" w:cs="宋体"/>
                <w:color w:val="444444" w:themeColor="text1"/>
                <w:kern w:val="0"/>
                <w:sz w:val="20"/>
                <w:szCs w:val="20"/>
                <w14:textFill>
                  <w14:solidFill>
                    <w14:schemeClr w14:val="tx1"/>
                  </w14:solidFill>
                </w14:textFill>
              </w:rPr>
              <w:t>技术和性能参数名称</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color w:val="444444" w:themeColor="text1"/>
                <w:kern w:val="0"/>
                <w:sz w:val="20"/>
                <w:szCs w:val="20"/>
                <w14:textFill>
                  <w14:solidFill>
                    <w14:schemeClr w14:val="tx1"/>
                  </w14:solidFill>
                </w14:textFill>
              </w:rPr>
            </w:pPr>
            <w:r>
              <w:rPr>
                <w:rFonts w:hint="eastAsia" w:ascii="黑体" w:hAnsi="黑体" w:eastAsia="黑体" w:cs="宋体"/>
                <w:color w:val="444444" w:themeColor="text1"/>
                <w:kern w:val="0"/>
                <w:sz w:val="20"/>
                <w:szCs w:val="20"/>
                <w14:textFill>
                  <w14:solidFill>
                    <w14:schemeClr w14:val="tx1"/>
                  </w14:solidFill>
                </w14:textFill>
              </w:rPr>
              <w:t>招标参数和性能要求</w:t>
            </w:r>
          </w:p>
        </w:tc>
      </w:tr>
      <w:tr>
        <w:tblPrEx>
          <w:tblCellMar>
            <w:top w:w="0" w:type="dxa"/>
            <w:left w:w="108" w:type="dxa"/>
            <w:bottom w:w="0" w:type="dxa"/>
            <w:right w:w="108" w:type="dxa"/>
          </w:tblCellMar>
        </w:tblPrEx>
        <w:trPr>
          <w:trHeight w:val="283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444444" w:themeColor="text1"/>
                <w:kern w:val="0"/>
                <w:sz w:val="20"/>
                <w:szCs w:val="20"/>
                <w14:textFill>
                  <w14:solidFill>
                    <w14:schemeClr w14:val="tx1"/>
                  </w14:solidFill>
                </w14:textFill>
              </w:rPr>
            </w:pPr>
            <w:r>
              <w:rPr>
                <w:rFonts w:hint="eastAsia" w:ascii="黑体" w:hAnsi="黑体" w:eastAsia="黑体" w:cs="宋体"/>
                <w:color w:val="444444" w:themeColor="text1"/>
                <w:kern w:val="0"/>
                <w:sz w:val="20"/>
                <w:szCs w:val="20"/>
                <w14:textFill>
                  <w14:solidFill>
                    <w14:schemeClr w14:val="tx1"/>
                  </w14:solidFill>
                </w14:textFill>
              </w:rPr>
              <w:t>1.1</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基本要求</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*1.要求投标方提供的软硬件设备均为国产品牌；</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·2.实现高清、流畅无卡顿、实时的视频语音交互会议系统；</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3.产品交付前，投标供应商应当进行产品自检，自检合格后向合同甲方申请验收，甲方验收合格后方可交付；</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投标方负责所有设备(含辅材)的供货与安装、调试，供货产品的各项功能、技术性能指标须符合我部要求，系统最终建设效果须达到我部应用需求。双方如对质量要求和技术指标的约定标准有相互抵触或异议的事项，由采购人在招标与投标文件中按质量要求和技术指标比较优胜的原则确定该项的约定标准进行验收。</w:t>
            </w:r>
          </w:p>
        </w:tc>
      </w:tr>
      <w:tr>
        <w:tblPrEx>
          <w:tblCellMar>
            <w:top w:w="0" w:type="dxa"/>
            <w:left w:w="108" w:type="dxa"/>
            <w:bottom w:w="0" w:type="dxa"/>
            <w:right w:w="108" w:type="dxa"/>
          </w:tblCellMar>
        </w:tblPrEx>
        <w:trPr>
          <w:trHeight w:val="262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444444" w:themeColor="text1"/>
                <w:kern w:val="0"/>
                <w:sz w:val="20"/>
                <w:szCs w:val="20"/>
                <w14:textFill>
                  <w14:solidFill>
                    <w14:schemeClr w14:val="tx1"/>
                  </w14:solidFill>
                </w14:textFill>
              </w:rPr>
            </w:pPr>
            <w:r>
              <w:rPr>
                <w:rFonts w:hint="eastAsia" w:ascii="黑体" w:hAnsi="黑体" w:eastAsia="黑体" w:cs="宋体"/>
                <w:color w:val="444444" w:themeColor="text1"/>
                <w:kern w:val="0"/>
                <w:sz w:val="20"/>
                <w:szCs w:val="20"/>
                <w14:textFill>
                  <w14:solidFill>
                    <w14:schemeClr w14:val="tx1"/>
                  </w14:solidFill>
                </w14:textFill>
              </w:rPr>
              <w:t>1.2</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采购明细</w:t>
            </w:r>
          </w:p>
        </w:tc>
        <w:tc>
          <w:tcPr>
            <w:tcW w:w="6593"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1.视频会议终端2台；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2.全向麦克风2个；</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3.视频矩阵1套；</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4.显示屏1台；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5.高清摄像机6台；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6.视频矩阵1台；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7.线缆辅材及安装调试1项；</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8.中控主机1套；</w:t>
            </w:r>
            <w:r>
              <w:rPr>
                <w:rFonts w:hint="eastAsia" w:ascii="宋体" w:hAnsi="宋体" w:eastAsia="宋体" w:cs="宋体"/>
                <w:color w:val="444444" w:themeColor="text1"/>
                <w:kern w:val="0"/>
                <w:sz w:val="20"/>
                <w:szCs w:val="20"/>
                <w14:textFill>
                  <w14:solidFill>
                    <w14:schemeClr w14:val="tx1"/>
                  </w14:solidFill>
                </w14:textFill>
              </w:rPr>
              <w:br w:type="textWrapping"/>
            </w:r>
            <w:r>
              <w:rPr>
                <w:rFonts w:ascii="宋体" w:hAnsi="宋体" w:eastAsia="宋体" w:cs="宋体"/>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9.有线专用触摸屏1块。</w:t>
            </w:r>
          </w:p>
        </w:tc>
      </w:tr>
      <w:tr>
        <w:tblPrEx>
          <w:tblCellMar>
            <w:top w:w="0" w:type="dxa"/>
            <w:left w:w="108" w:type="dxa"/>
            <w:bottom w:w="0" w:type="dxa"/>
            <w:right w:w="108" w:type="dxa"/>
          </w:tblCellMar>
        </w:tblPrEx>
        <w:trPr>
          <w:trHeight w:val="854"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保密要求</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ascii="宋体" w:hAnsi="宋体" w:eastAsia="宋体" w:cs="宋体"/>
                <w:color w:val="444444" w:themeColor="text1"/>
                <w:kern w:val="0"/>
                <w:sz w:val="20"/>
                <w:szCs w:val="20"/>
                <w14:textFill>
                  <w14:solidFill>
                    <w14:schemeClr w14:val="tx1"/>
                  </w14:solidFill>
                </w14:textFill>
              </w:rPr>
              <w:t>1.</w:t>
            </w:r>
            <w:r>
              <w:rPr>
                <w:rFonts w:hint="eastAsia" w:ascii="宋体" w:hAnsi="宋体" w:eastAsia="宋体" w:cs="宋体"/>
                <w:color w:val="444444" w:themeColor="text1"/>
                <w:kern w:val="0"/>
                <w:sz w:val="20"/>
                <w:szCs w:val="20"/>
                <w14:textFill>
                  <w14:solidFill>
                    <w14:schemeClr w14:val="tx1"/>
                  </w14:solidFill>
                </w14:textFill>
              </w:rPr>
              <w:t>具有保密资质认证。</w:t>
            </w:r>
          </w:p>
        </w:tc>
      </w:tr>
      <w:tr>
        <w:tblPrEx>
          <w:tblCellMar>
            <w:top w:w="0" w:type="dxa"/>
            <w:left w:w="108" w:type="dxa"/>
            <w:bottom w:w="0" w:type="dxa"/>
            <w:right w:w="108" w:type="dxa"/>
          </w:tblCellMar>
        </w:tblPrEx>
        <w:trPr>
          <w:trHeight w:val="555"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技术和性能参数</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 详见3.1-3.11</w:t>
            </w:r>
          </w:p>
        </w:tc>
      </w:tr>
      <w:tr>
        <w:tblPrEx>
          <w:tblCellMar>
            <w:top w:w="0" w:type="dxa"/>
            <w:left w:w="108" w:type="dxa"/>
            <w:bottom w:w="0" w:type="dxa"/>
            <w:right w:w="108" w:type="dxa"/>
          </w:tblCellMar>
        </w:tblPrEx>
        <w:trPr>
          <w:trHeight w:val="672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3.1</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高清视频会议终端</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*1.兼容上级MCU(中兴)，内置MCU能力6路720p30视频会场+3路纯音频会场；</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b/>
                <w:bCs/>
                <w:color w:val="444444" w:themeColor="text1"/>
                <w:kern w:val="0"/>
                <w:sz w:val="20"/>
                <w:szCs w:val="20"/>
                <w14:textFill>
                  <w14:solidFill>
                    <w14:schemeClr w14:val="tx1"/>
                  </w14:solidFill>
                </w14:textFill>
              </w:rPr>
              <w:t>·</w:t>
            </w:r>
            <w:r>
              <w:rPr>
                <w:rFonts w:hint="eastAsia" w:ascii="宋体" w:hAnsi="宋体" w:eastAsia="宋体" w:cs="宋体"/>
                <w:color w:val="444444" w:themeColor="text1"/>
                <w:kern w:val="0"/>
                <w:sz w:val="20"/>
                <w:szCs w:val="20"/>
                <w14:textFill>
                  <w14:solidFill>
                    <w14:schemeClr w14:val="tx1"/>
                  </w14:solidFill>
                </w14:textFill>
              </w:rPr>
              <w:t>2.支持1TU-T H.323、H320、IETF S1P 、ITU-T H.239、 BFCP多媒体框架协议；</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3.音料编解码协议，至少支持G711/671106722.6.722.10算法；</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4.视频编解码协议，至少支持H.261、H.263、H.264、H.264 High Proflle H.265视顿编解码标准；</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5.支持4E1带宽，最低带宽512kbp；</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6.在IP和4E1模式下，设各均支持主程频和辅视频双路1080p效果；</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7.支持QOS保障机制，支持FEC，在IP网络状态不好的情况下减弱网络质量原因对视音频效果的影响，最大支持网络25%丢包时不影响会议进行；</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8.视频输入接口至少支持4路高清接口和1路标清楼口；</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9.视顿输出接口至少支持4路高清接口和1路标清楼口；</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10.支持EI线路中的E1、2E1、3E1、4E1自动升降速功能；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*12.设备具有厂家授权或符合法律法规的合法销售证明文件；</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13.可获得4K超高清视频效果和体验，智能人脸检测和后端视频图像增强，改善灯光适应性、降低带宽消耗、提升图像清晰度以及增强运动图像效果；</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14.有录播功能，1×内置摄像机输入；</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15.视频分辨率：图像编码分辨率： 1920x1080 图像解码分辨率, 1920x1080、数据内容分辨率1920x1080、活动图像分辨率 1080p 60fps (可上下浮动)；</w:t>
            </w:r>
          </w:p>
        </w:tc>
      </w:tr>
      <w:tr>
        <w:tblPrEx>
          <w:tblCellMar>
            <w:top w:w="0" w:type="dxa"/>
            <w:left w:w="108" w:type="dxa"/>
            <w:bottom w:w="0" w:type="dxa"/>
            <w:right w:w="108" w:type="dxa"/>
          </w:tblCellMar>
        </w:tblPrEx>
        <w:trPr>
          <w:trHeight w:val="2184"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全向麦克风</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1.适配于视频会议终端及控制电脑；</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2.支持360度拾音范围；</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3.支持不小于 6米拾音距离技术；</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4.支持不小于48KHz采样率，全频语音；</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5.支持双声道立体声。</w:t>
            </w:r>
          </w:p>
        </w:tc>
      </w:tr>
      <w:tr>
        <w:tblPrEx>
          <w:tblCellMar>
            <w:top w:w="0" w:type="dxa"/>
            <w:left w:w="108" w:type="dxa"/>
            <w:bottom w:w="0" w:type="dxa"/>
            <w:right w:w="108" w:type="dxa"/>
          </w:tblCellMar>
        </w:tblPrEx>
        <w:trPr>
          <w:trHeight w:val="3503"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高清摄像机</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*1.采用不小于1/2.7英寸的HD CMOS 传感器，大于800万像素CMOS图像传感器；</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*2.有效像素不少于200万,可实现不低于1920x1080高分辨率的优质图像支持1080p60帧视频输出；</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3.支持不小于12倍光学变焦；</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4.支持不小于10倍数字变焦；</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5.支持不低于70度水平视角；</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6.水平转动范围能够到达±170°；</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7.垂直转动范围能够到达±30°；</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*8.至少支持SDI、HDMI视频输出接口。</w:t>
            </w:r>
          </w:p>
        </w:tc>
      </w:tr>
      <w:tr>
        <w:tblPrEx>
          <w:tblCellMar>
            <w:top w:w="0" w:type="dxa"/>
            <w:left w:w="108" w:type="dxa"/>
            <w:bottom w:w="0" w:type="dxa"/>
            <w:right w:w="108" w:type="dxa"/>
          </w:tblCellMar>
        </w:tblPrEx>
        <w:trPr>
          <w:trHeight w:val="478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高清视频矩阵</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·1.支持用于视频画面的分割、跨屏、拼接组合；</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2.支持解码标准:H.265、H.264、MPEG4/2、MJPEG 等；</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3.支持模块有:视频输入输出、解码能力、网口、usb口、音频接口；</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4.湿度:储存、使用湿度为10%-90%；</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5.温度:储存、使用温度为-20℃-+70℃功率:每模块 30W；</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6.支持实现1080P全高清分辨率图像显示；</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7.最少16个用户自定义的输出通道配置方案，在客户端可以轻松管理预案的调用与管理；</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8.支持机箱加板卡；</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9.支持RS32（软件）、面板、遥控、网络（选配）等多种控制方式；</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10.支持设置轮循通道、时间、间隔，可轻松实现信号自动间隔切换；</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11.8进8出高清混合矩阵。</w:t>
            </w:r>
          </w:p>
        </w:tc>
      </w:tr>
      <w:tr>
        <w:tblPrEx>
          <w:tblCellMar>
            <w:top w:w="0" w:type="dxa"/>
            <w:left w:w="108" w:type="dxa"/>
            <w:bottom w:w="0" w:type="dxa"/>
            <w:right w:w="108" w:type="dxa"/>
          </w:tblCellMar>
        </w:tblPrEx>
        <w:trPr>
          <w:trHeight w:val="478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综合布线</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spacing w:after="240"/>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*1.包含施工所需辅材、会场视音频线、摄像机控制线等线材和安装调试费；</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2.包含3米、5米、10米音视频成品线等线缆配件(SDI、DVI、HDMI、VGA等)，另根据现场情况布设所需相应长度的相关线缆总计约1千米； </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3.网线:需采用超5类或6类网线，长度约1千米；</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4.多媒体地插：含HDMI、小三芯、双莲花、网口；</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5.集成施工：含以上地插、模块安装、线缆铺设、标识、音箱、机柜设备安装、设备链接、调试等集成施工部署1项；</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*10.安装调试:根据现场实际需求进行线缆铺设及安装调试，铺装前实地测量实际线路情况，铺装人员由供货商提供，安装调试所需工具、线材、配件、备件及费用等均由供货商负责报警及安全指；</w:t>
            </w:r>
          </w:p>
        </w:tc>
      </w:tr>
      <w:tr>
        <w:tblPrEx>
          <w:tblCellMar>
            <w:top w:w="0" w:type="dxa"/>
            <w:left w:w="108" w:type="dxa"/>
            <w:bottom w:w="0" w:type="dxa"/>
            <w:right w:w="108" w:type="dxa"/>
          </w:tblCellMar>
        </w:tblPrEx>
        <w:trPr>
          <w:trHeight w:val="478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有线专用触摸屏</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1.支持触屏尺寸大于10〞对角线；</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2.分辨率不小于1280*800，色彩绚丽，美观大方；</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3.支持触摸形式：电容式，10点触摸，具有跳页和子页显示功能及中英文显示功能；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·4.支持操作界面可编辑，图形界面支持图片、图形、文字、3D按键、支持JPG, PNG, BMP等图片格式、支持图片透射功能；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5.支持场景设置功能；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6.支持矩阵控制功能；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7.支持网口下载数据，可用于传输用户工程；</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8.触摸板输入误差小于正负1mm。</w:t>
            </w:r>
          </w:p>
        </w:tc>
      </w:tr>
      <w:tr>
        <w:tblPrEx>
          <w:tblCellMar>
            <w:top w:w="0" w:type="dxa"/>
            <w:left w:w="108" w:type="dxa"/>
            <w:bottom w:w="0" w:type="dxa"/>
            <w:right w:w="108" w:type="dxa"/>
          </w:tblCellMar>
        </w:tblPrEx>
        <w:trPr>
          <w:trHeight w:val="759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中控主机</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1.支持主机配置主频达667MHz的32位内嵌式处理器，内置16G存储FLASH，能高速运行复杂的逻辑指令； </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2.支持8路独立可编程RS-232/422/485控制接口，支持可编程设置多种控制协议和代码；</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3.支持4路独立可编程的红外发射接口，支持控制多台相同或不同的红外设备 ；</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4.支持4路RELAY继电器端口输出；</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5.支持4路IO探测端口输入，可探测各类开关量信号；</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6.支持红外控制；</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7.支持数据同步；</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*8.同时支持国产系统的平板电脑控制，支持广域网、局域网远程控制；</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9.支持TCP\UDP\MUDBUS等控制协议；</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10.支持定时器数：不小于50个；</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11.支持无线通信方式，无需另布通信控制线；</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12.支持集中式物联网中控主机，实现对灯光、窗帘、空调、电器、感应等设备的集中控制；</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13.支持双向通信，状态实时同步更新；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15.支持自由设置与场景配置，命令的联动效果；</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16.支持超远距离通信，单点通信3KM以上（室外，空旷，常温环境测试）；</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17.支持软件界面完全图形化，并可以动态配置编辑；</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18.数据同步，实现手机、平板等终端控制设备的数据实时同步；</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19.支持用户账号密码管理，主机和用户一对一，安全性高；</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20.支持配网对码简单，多重加密安全保护，硬件物理阻隔；</w:t>
            </w:r>
          </w:p>
        </w:tc>
      </w:tr>
      <w:tr>
        <w:tblPrEx>
          <w:tblCellMar>
            <w:top w:w="0" w:type="dxa"/>
            <w:left w:w="108" w:type="dxa"/>
            <w:bottom w:w="0" w:type="dxa"/>
            <w:right w:w="108" w:type="dxa"/>
          </w:tblCellMar>
        </w:tblPrEx>
        <w:trPr>
          <w:trHeight w:val="799"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中控编程</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控制软件和编程</w:t>
            </w:r>
          </w:p>
        </w:tc>
      </w:tr>
      <w:tr>
        <w:tblPrEx>
          <w:tblCellMar>
            <w:top w:w="0" w:type="dxa"/>
            <w:left w:w="108" w:type="dxa"/>
            <w:bottom w:w="0" w:type="dxa"/>
            <w:right w:w="108" w:type="dxa"/>
          </w:tblCellMar>
        </w:tblPrEx>
        <w:trPr>
          <w:trHeight w:val="6285"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3.9</w:t>
            </w:r>
          </w:p>
        </w:tc>
        <w:tc>
          <w:tcPr>
            <w:tcW w:w="148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显示屏</w:t>
            </w:r>
          </w:p>
        </w:tc>
        <w:tc>
          <w:tcPr>
            <w:tcW w:w="659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1.屏幕显示尺寸不小于50寸；</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2.显示性能</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背光类型 ：直下式LED ；</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显示面积：不小于1428.1×801.6mm；</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整机尺寸 ：不小于 1467.9X845.4X68mm；</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屏幕比例 ： 16:9；</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分辨率 ：不小于3840*2160；</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亮度 ：不小于220cd/m2；</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对比度：不小于3000:1；</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显示色彩 ：1.06B(10bit)；</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视角：支持全视角 178°/178°/178°/178°；</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亮度调节 ：支持  可调试</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功率 ：≤230W；</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接口 ：支持 2*HDMI IN    1*USB   1*DC 12V；</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3.工艺外观材质： 铝型材，冷轧钢板、不易变形，机柜与模块部件结合紧密，下面底座螺丝固定，不易摇摆，铝型材包边、表面钢化玻璃；</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 xml:space="preserve">  电  源 ：至少支持内置安全可靠的电源外引线及专用插座。</w:t>
            </w:r>
          </w:p>
        </w:tc>
      </w:tr>
      <w:tr>
        <w:tblPrEx>
          <w:tblCellMar>
            <w:top w:w="0" w:type="dxa"/>
            <w:left w:w="108" w:type="dxa"/>
            <w:bottom w:w="0" w:type="dxa"/>
            <w:right w:w="108" w:type="dxa"/>
          </w:tblCellMar>
        </w:tblPrEx>
        <w:trPr>
          <w:trHeight w:val="788"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3.10</w:t>
            </w:r>
          </w:p>
        </w:tc>
        <w:tc>
          <w:tcPr>
            <w:tcW w:w="148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会场布线装修</w:t>
            </w:r>
          </w:p>
        </w:tc>
        <w:tc>
          <w:tcPr>
            <w:tcW w:w="659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中标后出具系统设计图</w:t>
            </w:r>
          </w:p>
        </w:tc>
      </w:tr>
      <w:tr>
        <w:tblPrEx>
          <w:tblCellMar>
            <w:top w:w="0" w:type="dxa"/>
            <w:left w:w="108" w:type="dxa"/>
            <w:bottom w:w="0" w:type="dxa"/>
            <w:right w:w="108" w:type="dxa"/>
          </w:tblCellMar>
        </w:tblPrEx>
        <w:trPr>
          <w:trHeight w:val="834"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4</w:t>
            </w:r>
          </w:p>
        </w:tc>
        <w:tc>
          <w:tcPr>
            <w:tcW w:w="1487"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报警及安全指标</w:t>
            </w:r>
          </w:p>
        </w:tc>
        <w:tc>
          <w:tcPr>
            <w:tcW w:w="6593"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无</w:t>
            </w:r>
          </w:p>
        </w:tc>
      </w:tr>
      <w:tr>
        <w:tblPrEx>
          <w:tblCellMar>
            <w:top w:w="0" w:type="dxa"/>
            <w:left w:w="108" w:type="dxa"/>
            <w:bottom w:w="0" w:type="dxa"/>
            <w:right w:w="108" w:type="dxa"/>
          </w:tblCellMar>
        </w:tblPrEx>
        <w:trPr>
          <w:trHeight w:val="982"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5</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设备不良事件情况</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提供设备近三年不良事件情况</w:t>
            </w:r>
          </w:p>
        </w:tc>
      </w:tr>
      <w:tr>
        <w:tblPrEx>
          <w:tblCellMar>
            <w:top w:w="0" w:type="dxa"/>
            <w:left w:w="108" w:type="dxa"/>
            <w:bottom w:w="0" w:type="dxa"/>
            <w:right w:w="108" w:type="dxa"/>
          </w:tblCellMar>
        </w:tblPrEx>
        <w:trPr>
          <w:trHeight w:val="3195" w:hRule="atLeast"/>
        </w:trPr>
        <w:tc>
          <w:tcPr>
            <w:tcW w:w="94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6</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配置需求</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1.视频会议终端2台；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2.全向麦克风2个；</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3.视频矩阵1套；</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4.显示屏1台；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5.高清摄像机6台；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6.视频矩阵1台；</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7.线缆辅材及安装调试1项；</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8.中控主机1套；</w:t>
            </w:r>
            <w:r>
              <w:rPr>
                <w:rFonts w:hint="eastAsia" w:ascii="宋体" w:hAnsi="宋体" w:eastAsia="宋体" w:cs="宋体"/>
                <w:color w:val="444444" w:themeColor="text1"/>
                <w:kern w:val="0"/>
                <w:sz w:val="20"/>
                <w:szCs w:val="20"/>
                <w14:textFill>
                  <w14:solidFill>
                    <w14:schemeClr w14:val="tx1"/>
                  </w14:solidFill>
                </w14:textFill>
              </w:rPr>
              <w:br w:type="textWrapping"/>
            </w:r>
            <w:r>
              <w:rPr>
                <w:rFonts w:hint="eastAsia" w:ascii="宋体" w:hAnsi="宋体" w:eastAsia="宋体" w:cs="宋体"/>
                <w:color w:val="444444" w:themeColor="text1"/>
                <w:kern w:val="0"/>
                <w:sz w:val="20"/>
                <w:szCs w:val="20"/>
                <w14:textFill>
                  <w14:solidFill>
                    <w14:schemeClr w14:val="tx1"/>
                  </w14:solidFill>
                </w14:textFill>
              </w:rPr>
              <w:t>9.有线专用触摸屏1块。</w:t>
            </w:r>
          </w:p>
        </w:tc>
      </w:tr>
      <w:tr>
        <w:tblPrEx>
          <w:tblCellMar>
            <w:top w:w="0" w:type="dxa"/>
            <w:left w:w="108" w:type="dxa"/>
            <w:bottom w:w="0" w:type="dxa"/>
            <w:right w:w="108" w:type="dxa"/>
          </w:tblCellMar>
        </w:tblPrEx>
        <w:trPr>
          <w:trHeight w:val="799" w:hRule="atLeast"/>
        </w:trPr>
        <w:tc>
          <w:tcPr>
            <w:tcW w:w="9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444444" w:themeColor="text1"/>
                <w:kern w:val="0"/>
                <w:sz w:val="24"/>
                <w:szCs w:val="24"/>
                <w14:textFill>
                  <w14:solidFill>
                    <w14:schemeClr w14:val="tx1"/>
                  </w14:solidFill>
                </w14:textFill>
              </w:rPr>
            </w:pPr>
            <w:r>
              <w:rPr>
                <w:rFonts w:hint="eastAsia" w:ascii="宋体" w:hAnsi="宋体" w:eastAsia="宋体" w:cs="宋体"/>
                <w:color w:val="444444" w:themeColor="text1"/>
                <w:kern w:val="0"/>
                <w:sz w:val="24"/>
                <w:szCs w:val="24"/>
                <w14:textFill>
                  <w14:solidFill>
                    <w14:schemeClr w14:val="tx1"/>
                  </w14:solidFill>
                </w14:textFill>
              </w:rPr>
              <w:t>7</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物联网支持功能</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支持</w:t>
            </w:r>
          </w:p>
        </w:tc>
      </w:tr>
      <w:tr>
        <w:tblPrEx>
          <w:tblCellMar>
            <w:top w:w="0" w:type="dxa"/>
            <w:left w:w="108" w:type="dxa"/>
            <w:bottom w:w="0" w:type="dxa"/>
            <w:right w:w="108" w:type="dxa"/>
          </w:tblCellMar>
        </w:tblPrEx>
        <w:trPr>
          <w:trHeight w:val="1830" w:hRule="atLeast"/>
        </w:trPr>
        <w:tc>
          <w:tcPr>
            <w:tcW w:w="9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444444" w:themeColor="text1"/>
                <w:kern w:val="0"/>
                <w:sz w:val="24"/>
                <w:szCs w:val="24"/>
                <w14:textFill>
                  <w14:solidFill>
                    <w14:schemeClr w14:val="tx1"/>
                  </w14:solidFill>
                </w14:textFill>
              </w:rPr>
            </w:pPr>
            <w:r>
              <w:rPr>
                <w:rFonts w:hint="eastAsia" w:ascii="宋体" w:hAnsi="宋体" w:eastAsia="宋体" w:cs="宋体"/>
                <w:color w:val="444444" w:themeColor="text1"/>
                <w:kern w:val="0"/>
                <w:sz w:val="24"/>
                <w:szCs w:val="24"/>
                <w14:textFill>
                  <w14:solidFill>
                    <w14:schemeClr w14:val="tx1"/>
                  </w14:solidFill>
                </w14:textFill>
              </w:rPr>
              <w:t>8</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售后条款</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质保期从验收合格之日起算，本项目中设备如含有硬盘，须由供货商购买“原厂硬盘无返还服务”≥三年，系统整体免费质保三年(包含所有设备、配件、线缆等)，质保期内上门服务(包括维修、更换配件等)不再发生任何费用。 </w:t>
            </w:r>
          </w:p>
        </w:tc>
      </w:tr>
      <w:tr>
        <w:tblPrEx>
          <w:tblCellMar>
            <w:top w:w="0" w:type="dxa"/>
            <w:left w:w="108" w:type="dxa"/>
            <w:bottom w:w="0" w:type="dxa"/>
            <w:right w:w="108" w:type="dxa"/>
          </w:tblCellMar>
        </w:tblPrEx>
        <w:trPr>
          <w:trHeight w:val="10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8.1</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保修年限</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 ≥3年</w:t>
            </w:r>
          </w:p>
        </w:tc>
      </w:tr>
      <w:tr>
        <w:tblPrEx>
          <w:tblCellMar>
            <w:top w:w="0" w:type="dxa"/>
            <w:left w:w="108" w:type="dxa"/>
            <w:bottom w:w="0" w:type="dxa"/>
            <w:right w:w="108" w:type="dxa"/>
          </w:tblCellMar>
        </w:tblPrEx>
        <w:trPr>
          <w:trHeight w:val="10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8.2</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预防性维修/定期维护保养</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保修期内按维修手册要求提供定期维护保养服务 </w:t>
            </w:r>
          </w:p>
        </w:tc>
      </w:tr>
      <w:tr>
        <w:tblPrEx>
          <w:tblCellMar>
            <w:top w:w="0" w:type="dxa"/>
            <w:left w:w="108" w:type="dxa"/>
            <w:bottom w:w="0" w:type="dxa"/>
            <w:right w:w="108" w:type="dxa"/>
          </w:tblCellMar>
        </w:tblPrEx>
        <w:trPr>
          <w:trHeight w:val="10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8.3</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维修响应时间</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维修到达现场时间≤0.5个工作日(京内)维修到达现场时间&lt;3个工作日(京外)</w:t>
            </w:r>
          </w:p>
        </w:tc>
      </w:tr>
      <w:tr>
        <w:tblPrEx>
          <w:tblCellMar>
            <w:top w:w="0" w:type="dxa"/>
            <w:left w:w="108" w:type="dxa"/>
            <w:bottom w:w="0" w:type="dxa"/>
            <w:right w:w="108" w:type="dxa"/>
          </w:tblCellMar>
        </w:tblPrEx>
        <w:trPr>
          <w:trHeight w:val="842"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8.4</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配件报价</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保修期内配件免费</w:t>
            </w:r>
          </w:p>
        </w:tc>
      </w:tr>
      <w:tr>
        <w:tblPrEx>
          <w:tblCellMar>
            <w:top w:w="0" w:type="dxa"/>
            <w:left w:w="108" w:type="dxa"/>
            <w:bottom w:w="0" w:type="dxa"/>
            <w:right w:w="108" w:type="dxa"/>
          </w:tblCellMar>
        </w:tblPrEx>
        <w:trPr>
          <w:trHeight w:val="981"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8.5</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升级与软件维护 </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保修期内免费升级和软件维护</w:t>
            </w:r>
          </w:p>
        </w:tc>
      </w:tr>
      <w:tr>
        <w:tblPrEx>
          <w:tblCellMar>
            <w:top w:w="0" w:type="dxa"/>
            <w:left w:w="108" w:type="dxa"/>
            <w:bottom w:w="0" w:type="dxa"/>
            <w:right w:w="108" w:type="dxa"/>
          </w:tblCellMar>
        </w:tblPrEx>
        <w:trPr>
          <w:trHeight w:val="84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8.6</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维修工时费计算方法及价格 </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保修期内免费</w:t>
            </w:r>
          </w:p>
        </w:tc>
      </w:tr>
      <w:tr>
        <w:tblPrEx>
          <w:tblCellMar>
            <w:top w:w="0" w:type="dxa"/>
            <w:left w:w="108" w:type="dxa"/>
            <w:bottom w:w="0" w:type="dxa"/>
            <w:right w:w="108" w:type="dxa"/>
          </w:tblCellMar>
        </w:tblPrEx>
        <w:trPr>
          <w:trHeight w:val="9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8.7</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专用工具、资料及其它</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提供设备配套的维修专用工具(如有)，资料(操作手册、维修手册等) </w:t>
            </w:r>
          </w:p>
        </w:tc>
      </w:tr>
      <w:tr>
        <w:tblPrEx>
          <w:tblCellMar>
            <w:top w:w="0" w:type="dxa"/>
            <w:left w:w="108" w:type="dxa"/>
            <w:bottom w:w="0" w:type="dxa"/>
            <w:right w:w="108" w:type="dxa"/>
          </w:tblCellMar>
        </w:tblPrEx>
        <w:trPr>
          <w:trHeight w:val="837"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8.8</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培训</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 xml:space="preserve">提供使用培训和工程师培训(厂家自报方式) </w:t>
            </w:r>
          </w:p>
        </w:tc>
      </w:tr>
      <w:tr>
        <w:tblPrEx>
          <w:tblCellMar>
            <w:top w:w="0" w:type="dxa"/>
            <w:left w:w="108" w:type="dxa"/>
            <w:bottom w:w="0" w:type="dxa"/>
            <w:right w:w="108" w:type="dxa"/>
          </w:tblCellMar>
        </w:tblPrEx>
        <w:trPr>
          <w:trHeight w:val="10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8.9</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交货期</w:t>
            </w:r>
          </w:p>
        </w:tc>
        <w:tc>
          <w:tcPr>
            <w:tcW w:w="6593"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合同签订后30天内交货，交货30天内完成安装</w:t>
            </w:r>
          </w:p>
        </w:tc>
      </w:tr>
      <w:tr>
        <w:tblPrEx>
          <w:tblCellMar>
            <w:top w:w="0" w:type="dxa"/>
            <w:left w:w="108" w:type="dxa"/>
            <w:bottom w:w="0" w:type="dxa"/>
            <w:right w:w="108" w:type="dxa"/>
          </w:tblCellMar>
        </w:tblPrEx>
        <w:trPr>
          <w:trHeight w:val="145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8.10</w:t>
            </w:r>
          </w:p>
        </w:tc>
        <w:tc>
          <w:tcPr>
            <w:tcW w:w="148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付款方式</w:t>
            </w:r>
          </w:p>
        </w:tc>
        <w:tc>
          <w:tcPr>
            <w:tcW w:w="65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444444" w:themeColor="text1"/>
                <w:kern w:val="0"/>
                <w:sz w:val="20"/>
                <w:szCs w:val="20"/>
                <w14:textFill>
                  <w14:solidFill>
                    <w14:schemeClr w14:val="tx1"/>
                  </w14:solidFill>
                </w14:textFill>
              </w:rPr>
            </w:pPr>
            <w:r>
              <w:rPr>
                <w:rFonts w:hint="eastAsia" w:ascii="宋体" w:hAnsi="宋体" w:eastAsia="宋体" w:cs="宋体"/>
                <w:color w:val="444444" w:themeColor="text1"/>
                <w:kern w:val="0"/>
                <w:sz w:val="20"/>
                <w:szCs w:val="20"/>
                <w14:textFill>
                  <w14:solidFill>
                    <w14:schemeClr w14:val="tx1"/>
                  </w14:solidFill>
                </w14:textFill>
              </w:rPr>
              <w:t>合同签订且物资到货后付30%，安装调试完成且验收合格后付65%，质保期满后付5%</w:t>
            </w:r>
          </w:p>
        </w:tc>
      </w:tr>
    </w:tbl>
    <w:p>
      <w:pPr>
        <w:ind w:left="630" w:firstLine="420"/>
        <w:rPr>
          <w:rFonts w:ascii="仿宋_GB2312" w:hAnsi="宋体" w:eastAsia="仿宋_GB2312" w:cs="宋体"/>
          <w:color w:val="444444" w:themeColor="text1"/>
          <w:kern w:val="0"/>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FB"/>
    <w:rsid w:val="000150A8"/>
    <w:rsid w:val="00047564"/>
    <w:rsid w:val="000A3BFF"/>
    <w:rsid w:val="000A61C3"/>
    <w:rsid w:val="001747F1"/>
    <w:rsid w:val="001E0B08"/>
    <w:rsid w:val="002D0474"/>
    <w:rsid w:val="003631F5"/>
    <w:rsid w:val="00393796"/>
    <w:rsid w:val="004046B6"/>
    <w:rsid w:val="004547E3"/>
    <w:rsid w:val="00483BE3"/>
    <w:rsid w:val="004A0DFF"/>
    <w:rsid w:val="004F43FB"/>
    <w:rsid w:val="00532308"/>
    <w:rsid w:val="0053333C"/>
    <w:rsid w:val="00587372"/>
    <w:rsid w:val="006118B4"/>
    <w:rsid w:val="0070531A"/>
    <w:rsid w:val="00706647"/>
    <w:rsid w:val="00736DAD"/>
    <w:rsid w:val="007D16ED"/>
    <w:rsid w:val="007D6611"/>
    <w:rsid w:val="007D74E6"/>
    <w:rsid w:val="008873C2"/>
    <w:rsid w:val="008A22D1"/>
    <w:rsid w:val="009251DF"/>
    <w:rsid w:val="009B3207"/>
    <w:rsid w:val="00A53A52"/>
    <w:rsid w:val="00A93904"/>
    <w:rsid w:val="00AB098A"/>
    <w:rsid w:val="00B74799"/>
    <w:rsid w:val="00CF5DBC"/>
    <w:rsid w:val="00E10AC0"/>
    <w:rsid w:val="00E53200"/>
    <w:rsid w:val="00F129DE"/>
    <w:rsid w:val="00F2525F"/>
    <w:rsid w:val="08D41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581</Words>
  <Characters>3317</Characters>
  <Lines>27</Lines>
  <Paragraphs>7</Paragraphs>
  <TotalTime>2</TotalTime>
  <ScaleCrop>false</ScaleCrop>
  <LinksUpToDate>false</LinksUpToDate>
  <CharactersWithSpaces>3891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2023-02-16T07:27:00Z</dcterms:created>
  <dc:creator>Admin</dc:creator>
  <cp:lastModifiedBy>cy</cp:lastModifiedBy>
  <cp:lastPrinted>2022-08-16T02:53:00Z</cp:lastPrinted>
  <dcterms:modified xsi:type="dcterms:W3CDTF">2023-03-28T02:33:02Z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